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CA31">
      <w:pPr>
        <w:pStyle w:val="4"/>
        <w:spacing w:before="0" w:after="0" w:line="360" w:lineRule="auto"/>
        <w:rPr>
          <w:rFonts w:ascii="宋体" w:hAnsi="宋体" w:cs="宋体"/>
          <w:highlight w:val="none"/>
        </w:rPr>
      </w:pPr>
      <w:r>
        <w:rPr>
          <w:rFonts w:hint="eastAsia" w:ascii="宋体" w:hAnsi="宋体" w:cs="宋体"/>
          <w:highlight w:val="none"/>
          <w:lang w:val="en-US"/>
        </w:rPr>
        <w:t>影像诊断显示屏</w:t>
      </w:r>
      <w:r>
        <w:rPr>
          <w:rFonts w:hint="eastAsia" w:ascii="宋体" w:hAnsi="宋体" w:cs="宋体"/>
          <w:highlight w:val="none"/>
          <w:lang w:val="en-US" w:eastAsia="zh-CN"/>
        </w:rPr>
        <w:t>参数</w:t>
      </w:r>
      <w:r>
        <w:rPr>
          <w:rFonts w:hint="eastAsia" w:ascii="宋体" w:hAnsi="宋体" w:cs="宋体"/>
          <w:highlight w:val="none"/>
        </w:rPr>
        <w:t>要求</w:t>
      </w:r>
    </w:p>
    <w:p w14:paraId="4A6BCC0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1、显示器可以自动校准亮度曲线，完全符合dicom3.14标准，提供国家知识产权局认可的证明材料</w:t>
      </w:r>
    </w:p>
    <w:p w14:paraId="105A352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★2、屏幕尺寸≧30英寸，分辨率≧3100×2000，点距≦0.197×0.197mm，最大亮度≧1300cd/m²，对比度≧2000：1 ，响应时间≦28ms（Ton≤13ms，Toff≤15ms），可视角度≥178°</w:t>
      </w:r>
    </w:p>
    <w:p w14:paraId="6308C67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3、色彩度≧4.398Trillion(42bit)，提供国家知识产权局认可的证明材料</w:t>
      </w:r>
    </w:p>
    <w:p w14:paraId="6B9F6A1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▲4、产品获得CCC强制认证，并且3C认证证书上委托人、生产者（制造商）和生产企业名称须完全一致。</w:t>
      </w:r>
    </w:p>
    <w:p w14:paraId="4B9EDD3F">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▲5、医用显示器质量控制软件系统设置模块提供≥12个不可变更的标准QC策略库，此类策略只可查看，不支持修改，提供软件界面截图</w:t>
      </w:r>
    </w:p>
    <w:p w14:paraId="5497E0C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▲6、医用显示器质量控制软件系统的设置模块可查看当前色度计的连接状态，并设置当前软件所使用的默认色度计，同时软件还支持连接ColorMaster（CA310，CA410）二种色度计</w:t>
      </w:r>
      <w:r>
        <w:rPr>
          <w:rFonts w:hint="eastAsia" w:ascii="宋体" w:hAnsi="宋体" w:cs="宋体"/>
          <w:sz w:val="24"/>
          <w:highlight w:val="none"/>
          <w:lang w:eastAsia="zh-CN"/>
        </w:rPr>
        <w:t>，</w:t>
      </w:r>
      <w:r>
        <w:rPr>
          <w:rFonts w:hint="eastAsia" w:ascii="宋体" w:hAnsi="宋体" w:cs="宋体"/>
          <w:sz w:val="24"/>
          <w:highlight w:val="none"/>
        </w:rPr>
        <w:t>并能显示连接状态，提供软件界面截图</w:t>
      </w:r>
    </w:p>
    <w:p w14:paraId="04E249F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▲7、医用显示器质量控制软件系统的质控报告模块主要用于展示检测和校准的历史记录，可通过机型、SN、操作类型、结果、QC策略、操作人、日期范围、显示器类型等进行精确定位，提供软件界面截图</w:t>
      </w:r>
    </w:p>
    <w:p w14:paraId="7AC2353F">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▲8、医用显示器质量控制软件系统生成的质控报告以不可变更的PDF的格式保存，可在软件设置内修改报告保存路径，支持批量导出报告，提供软件界面截图</w:t>
      </w:r>
    </w:p>
    <w:p w14:paraId="6A5020F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  9.提供医用显示器质量控制软件著作权登记证书</w:t>
      </w:r>
    </w:p>
    <w:p w14:paraId="5189163E">
      <w:pPr>
        <w:spacing w:line="360" w:lineRule="auto"/>
        <w:ind w:firstLine="480" w:firstLineChars="200"/>
        <w:jc w:val="left"/>
        <w:rPr>
          <w:rFonts w:hint="eastAsia" w:ascii="宋体" w:hAnsi="宋体" w:cs="宋体"/>
          <w:kern w:val="0"/>
          <w:sz w:val="24"/>
          <w:highlight w:val="none"/>
          <w:lang w:bidi="ar"/>
        </w:rPr>
      </w:pPr>
      <w:r>
        <w:rPr>
          <w:rFonts w:hint="eastAsia" w:ascii="宋体" w:hAnsi="宋体" w:cs="宋体"/>
          <w:kern w:val="0"/>
          <w:sz w:val="24"/>
          <w:highlight w:val="none"/>
          <w:lang w:bidi="ar"/>
        </w:rPr>
        <w:t>★10、主要配置清单：</w:t>
      </w:r>
    </w:p>
    <w:p w14:paraId="30DB8D47">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主机：液晶显示器1台；</w:t>
      </w:r>
    </w:p>
    <w:p w14:paraId="3D2C5FB2">
      <w:pPr>
        <w:pStyle w:val="7"/>
        <w:tabs>
          <w:tab w:val="left" w:pos="6884"/>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配件：显卡、 电源线、电源适配器 、USB 线</w:t>
      </w:r>
      <w:r>
        <w:rPr>
          <w:rFonts w:hint="eastAsia" w:ascii="宋体" w:hAnsi="宋体" w:cs="宋体"/>
          <w:sz w:val="24"/>
          <w:szCs w:val="24"/>
          <w:highlight w:val="none"/>
          <w:lang w:eastAsia="zh-CN"/>
        </w:rPr>
        <w:t>等。</w:t>
      </w:r>
    </w:p>
    <w:p w14:paraId="67D971A3">
      <w:pPr>
        <w:spacing w:line="360" w:lineRule="auto"/>
        <w:ind w:firstLine="482" w:firstLineChars="200"/>
        <w:jc w:val="left"/>
        <w:rPr>
          <w:rFonts w:hint="eastAsia" w:ascii="宋体" w:hAnsi="宋体" w:cs="宋体"/>
          <w:b/>
          <w:bCs/>
          <w:kern w:val="0"/>
          <w:sz w:val="24"/>
          <w:highlight w:val="none"/>
          <w:lang w:bidi="ar"/>
        </w:rPr>
      </w:pPr>
      <w:r>
        <w:rPr>
          <w:rFonts w:hint="eastAsia" w:ascii="宋体" w:hAnsi="宋体" w:cs="宋体"/>
          <w:b/>
          <w:bCs/>
          <w:kern w:val="0"/>
          <w:sz w:val="24"/>
          <w:highlight w:val="none"/>
          <w:lang w:bidi="ar"/>
        </w:rPr>
        <w:t>备注：1.“★”为实质性参数，不满足作废标处理，“▲”为重要扣分项作重点扣分处理，其他普通参数作扣分处理。</w:t>
      </w:r>
    </w:p>
    <w:p w14:paraId="6CF6277B">
      <w:pPr>
        <w:numPr>
          <w:ilvl w:val="0"/>
          <w:numId w:val="1"/>
        </w:numPr>
        <w:spacing w:line="360" w:lineRule="auto"/>
        <w:ind w:firstLine="482" w:firstLineChars="200"/>
        <w:jc w:val="left"/>
        <w:rPr>
          <w:rFonts w:hint="eastAsia" w:ascii="宋体" w:hAnsi="宋体" w:cs="宋体"/>
          <w:b/>
          <w:bCs/>
          <w:kern w:val="0"/>
          <w:sz w:val="24"/>
          <w:highlight w:val="none"/>
          <w:lang w:bidi="ar"/>
        </w:rPr>
      </w:pPr>
      <w:r>
        <w:rPr>
          <w:rFonts w:hint="eastAsia" w:ascii="宋体" w:hAnsi="宋体" w:cs="宋体"/>
          <w:b/>
          <w:bCs/>
          <w:kern w:val="0"/>
          <w:sz w:val="24"/>
          <w:highlight w:val="none"/>
          <w:lang w:bidi="ar"/>
        </w:rPr>
        <w:t>标有“▲”项目和参数有要求的项目投标人应提供技术支持资料，否则判定为“负偏离”。技术支持资料指：技术参数有对技术支持资料做明确要求的，按照要求执行。若未做要求，则提供投标产品生产厂家公开发布的印刷资料，或说明书，或检测机构出具的检测报告。</w:t>
      </w:r>
    </w:p>
    <w:p w14:paraId="7D0F7C99">
      <w:pPr>
        <w:numPr>
          <w:ilvl w:val="0"/>
          <w:numId w:val="1"/>
        </w:numPr>
        <w:spacing w:line="360" w:lineRule="auto"/>
        <w:ind w:firstLine="482" w:firstLineChars="200"/>
        <w:jc w:val="left"/>
        <w:rPr>
          <w:rFonts w:hint="eastAsia" w:ascii="宋体" w:hAnsi="宋体" w:cs="宋体"/>
          <w:b/>
          <w:bCs/>
          <w:kern w:val="0"/>
          <w:sz w:val="24"/>
          <w:highlight w:val="none"/>
          <w:lang w:bidi="ar"/>
        </w:rPr>
      </w:pPr>
      <w:r>
        <w:rPr>
          <w:rFonts w:hint="eastAsia" w:ascii="宋体" w:hAnsi="宋体" w:cs="宋体"/>
          <w:b/>
          <w:bCs/>
          <w:kern w:val="0"/>
          <w:sz w:val="24"/>
          <w:highlight w:val="none"/>
          <w:lang w:bidi="ar"/>
        </w:rPr>
        <w:t>针对一般条款的技术响应，如果招标文件“技术参数要求”中技术参数条款对技术支撑材料有要求，应按要求提供，否则对应技术参数条款将视为不满足。</w:t>
      </w:r>
    </w:p>
    <w:p w14:paraId="458837AD">
      <w:pPr>
        <w:spacing w:line="360" w:lineRule="auto"/>
        <w:ind w:firstLine="482" w:firstLineChars="200"/>
        <w:jc w:val="left"/>
        <w:rPr>
          <w:rFonts w:hint="eastAsia" w:ascii="宋体" w:hAnsi="宋体" w:eastAsia="宋体" w:cs="宋体"/>
          <w:b/>
          <w:bCs/>
          <w:kern w:val="0"/>
          <w:sz w:val="24"/>
          <w:highlight w:val="none"/>
          <w:lang w:val="en-US" w:eastAsia="zh-CN" w:bidi="ar"/>
        </w:rPr>
      </w:pPr>
      <w:r>
        <w:rPr>
          <w:rFonts w:hint="eastAsia" w:ascii="宋体" w:hAnsi="宋体" w:cs="宋体"/>
          <w:b/>
          <w:bCs/>
          <w:kern w:val="0"/>
          <w:sz w:val="24"/>
          <w:highlight w:val="none"/>
          <w:lang w:bidi="ar"/>
        </w:rPr>
        <w:t>4.相关资质文件、证明材料必须加盖投标人公章</w:t>
      </w:r>
      <w:r>
        <w:rPr>
          <w:rFonts w:hint="eastAsia" w:ascii="宋体" w:hAnsi="宋体" w:cs="宋体"/>
          <w:b/>
          <w:bCs/>
          <w:kern w:val="0"/>
          <w:sz w:val="24"/>
          <w:highlight w:val="none"/>
          <w:lang w:val="en-US" w:eastAsia="zh-CN" w:bidi="ar"/>
        </w:rPr>
        <w:t>。</w:t>
      </w:r>
    </w:p>
    <w:p w14:paraId="78E2EE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BF47F"/>
    <w:multiLevelType w:val="singleLevel"/>
    <w:tmpl w:val="0CDBF47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7E7E77C6"/>
    <w:rsid w:val="04E41E3F"/>
    <w:rsid w:val="7E7E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Body Text"/>
    <w:basedOn w:val="1"/>
    <w:next w:val="1"/>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customStyle="1" w:styleId="7">
    <w:name w:val="正文 A"/>
    <w:next w:val="2"/>
    <w:qFormat/>
    <w:uiPriority w:val="0"/>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1168</Words>
  <Characters>1288</Characters>
  <Lines>0</Lines>
  <Paragraphs>0</Paragraphs>
  <TotalTime>0</TotalTime>
  <ScaleCrop>false</ScaleCrop>
  <LinksUpToDate>false</LinksUpToDate>
  <CharactersWithSpaces>1296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2024-08-30T02:50:00Z</dcterms:created>
  <dc:creator>WPS_1724122625</dc:creator>
  <cp:lastModifiedBy>Wonderdq</cp:lastModifiedBy>
  <dcterms:modified xsi:type="dcterms:W3CDTF">2024-08-30T06:50:37Z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2A1D051564314D098E63EAD2CD05EFC4_11</vt:lpwstr>
  </property>
</Properties>
</file>